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Нормирование и оплата труда на предприятии</w:t>
            </w:r>
          </w:p>
          <w:p>
            <w:pPr>
              <w:jc w:val="center"/>
              <w:spacing w:after="0" w:line="240" w:lineRule="auto"/>
              <w:rPr>
                <w:sz w:val="32"/>
                <w:szCs w:val="32"/>
              </w:rPr>
            </w:pPr>
            <w:r>
              <w:rPr>
                <w:rFonts w:ascii="Times New Roman" w:hAnsi="Times New Roman" w:cs="Times New Roman"/>
                <w:color w:val="#000000"/>
                <w:sz w:val="32"/>
                <w:szCs w:val="32"/>
              </w:rPr>
              <w:t> К.М.02.02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26.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/Долженко С.П./</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«Нормирование и оплата труда на предприятии»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К.М.02.02 «Нормирование и оплата труда на предприятии».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«Нормирование и оплата труда на предприятии»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тактическому управлению процессами организации производства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постановления, распоряжения, приказы, методические и нормативные материалы по организации, нормированию и оплате труда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структуру и штаты организации, специализацию и перспективы ее развития</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порядок разработки календарных планов пересмотра норм и организационно-технических мероприятий по повышению производительности труда, планов организации труда, заданий по снижению трудоемкости изделий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знать требования рациональной организации труда при разработке технологических процессов (режимов производства)</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знать  методы анализа состояния нормирования труда, качества норм, показателей по труду, изучения трудовых процессов и наиболее эффективных приемов и методов труда, использования рабочего времени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знать  передовой отечественный и зарубежный опыт организации управления производством, совершенствования организации, нормирования и оплаты труда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уметь применять в профессиональной деятельности  требования рациональной организации труда при разработке технологических процессов (режимов производства)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ПК-2.19 уметь использовать в профессиональной деятельности  методы анализа состояния нормирования труда, качества норм, показателей по труду, изучения трудовых процессов и наиболее эффективных приемов и методов труда, использования рабочего времени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ПК-2.20 уметь использовать в профессиональной деятельности передовой отечественный и зарубежный опыт организации управления производством, совершенствования организации, нормирования и оплаты труда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ПК-2.24 владеть навыками  изучения передового отечественного и зарубежного опыта в области организации, нормирования и оплаты труда и использование его в своей работе</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ПК-2.29 владеть навыками анализа состояния нормирования, степени обоснованности и напряженности норм, проведение работы по улучшению их качества, обеспечению равной напряженности норм на однородных работах, выполняемых при одинаковых организационно-технических условиях</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ПК-2.31 владеть навыками контроля за соблюдением в устанавливаемых нормах требований рациональной организации труда при разработке технологических процессов (режимов производства), определение экономического эффекта от внедрения технически обоснованных норм трудовых затрат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666.833"/>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ПК-2.33 владеть навыками  разработки мероприятий по снижению трудоемкости продукции, выявлению резервов роста производительности труда за счет повышения качества нормирования, расширения сферы нормирования труда рабочих-повременщиков и служащих, по устранению потерь рабочего времени и улучшению его использования, подготовка предложений по совершенствованию систем оплаты труда, материального и морального стимулирования работников</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К.М.02.02 «Нормирование и оплата труда на предприятии» относится к обязательной части, является дисциплиной Блока Б1. «Дисциплины (модули)». Модуль "Тактическое управление процессами организации производства"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p>
            <w:pPr>
              <w:jc w:val="center"/>
              <w:spacing w:after="0" w:line="240" w:lineRule="auto"/>
              <w:rPr>
                <w:sz w:val="22"/>
                <w:szCs w:val="22"/>
              </w:rPr>
            </w:pPr>
            <w:r>
              <w:rPr>
                <w:rFonts w:ascii="Times New Roman" w:hAnsi="Times New Roman" w:cs="Times New Roman"/>
                <w:color w:val="#000000"/>
                <w:sz w:val="22"/>
                <w:szCs w:val="22"/>
              </w:rPr>
              <w:t> Маркетинг</w:t>
            </w:r>
          </w:p>
          <w:p>
            <w:pPr>
              <w:jc w:val="center"/>
              <w:spacing w:after="0" w:line="240" w:lineRule="auto"/>
              <w:rPr>
                <w:sz w:val="22"/>
                <w:szCs w:val="22"/>
              </w:rPr>
            </w:pPr>
            <w:r>
              <w:rPr>
                <w:rFonts w:ascii="Times New Roman" w:hAnsi="Times New Roman" w:cs="Times New Roman"/>
                <w:color w:val="#000000"/>
                <w:sz w:val="22"/>
                <w:szCs w:val="22"/>
              </w:rPr>
              <w:t> Планирование производства</w:t>
            </w:r>
          </w:p>
          <w:p>
            <w:pPr>
              <w:jc w:val="center"/>
              <w:spacing w:after="0" w:line="240" w:lineRule="auto"/>
              <w:rPr>
                <w:sz w:val="22"/>
                <w:szCs w:val="22"/>
              </w:rPr>
            </w:pPr>
            <w:r>
              <w:rPr>
                <w:rFonts w:ascii="Times New Roman" w:hAnsi="Times New Roman" w:cs="Times New Roman"/>
                <w:color w:val="#000000"/>
                <w:sz w:val="22"/>
                <w:szCs w:val="22"/>
              </w:rPr>
              <w:t> Человек.Экономика.Финансы</w:t>
            </w:r>
          </w:p>
          <w:p>
            <w:pPr>
              <w:jc w:val="center"/>
              <w:spacing w:after="0" w:line="240" w:lineRule="auto"/>
              <w:rPr>
                <w:sz w:val="22"/>
                <w:szCs w:val="22"/>
              </w:rPr>
            </w:pPr>
            <w:r>
              <w:rPr>
                <w:rFonts w:ascii="Times New Roman" w:hAnsi="Times New Roman" w:cs="Times New Roman"/>
                <w:color w:val="#000000"/>
                <w:sz w:val="22"/>
                <w:szCs w:val="22"/>
              </w:rPr>
              <w:t> Антикоррупционная культура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Информационно-коммуникационные технологии в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Управление проектами</w:t>
            </w:r>
          </w:p>
          <w:p>
            <w:pPr>
              <w:jc w:val="center"/>
              <w:spacing w:after="0" w:line="240" w:lineRule="auto"/>
              <w:rPr>
                <w:sz w:val="22"/>
                <w:szCs w:val="22"/>
              </w:rPr>
            </w:pPr>
            <w:r>
              <w:rPr>
                <w:rFonts w:ascii="Times New Roman" w:hAnsi="Times New Roman" w:cs="Times New Roman"/>
                <w:color w:val="#000000"/>
                <w:sz w:val="22"/>
                <w:szCs w:val="22"/>
              </w:rPr>
              <w:t> Управленческие решения</w:t>
            </w:r>
          </w:p>
          <w:p>
            <w:pPr>
              <w:jc w:val="center"/>
              <w:spacing w:after="0" w:line="240" w:lineRule="auto"/>
              <w:rPr>
                <w:sz w:val="22"/>
                <w:szCs w:val="22"/>
              </w:rPr>
            </w:pPr>
            <w:r>
              <w:rPr>
                <w:rFonts w:ascii="Times New Roman" w:hAnsi="Times New Roman" w:cs="Times New Roman"/>
                <w:color w:val="#000000"/>
                <w:sz w:val="22"/>
                <w:szCs w:val="22"/>
              </w:rPr>
              <w:t> Зарубежный опыт деятельности предприятия</w:t>
            </w:r>
          </w:p>
          <w:p>
            <w:pPr>
              <w:jc w:val="center"/>
              <w:spacing w:after="0" w:line="240" w:lineRule="auto"/>
              <w:rPr>
                <w:sz w:val="22"/>
                <w:szCs w:val="22"/>
              </w:rPr>
            </w:pPr>
            <w:r>
              <w:rPr>
                <w:rFonts w:ascii="Times New Roman" w:hAnsi="Times New Roman" w:cs="Times New Roman"/>
                <w:color w:val="#000000"/>
                <w:sz w:val="22"/>
                <w:szCs w:val="22"/>
              </w:rPr>
              <w:t> Мониторинг и экономическая оценка риска</w:t>
            </w:r>
          </w:p>
          <w:p>
            <w:pPr>
              <w:jc w:val="center"/>
              <w:spacing w:after="0" w:line="240" w:lineRule="auto"/>
              <w:rPr>
                <w:sz w:val="22"/>
                <w:szCs w:val="22"/>
              </w:rPr>
            </w:pPr>
            <w:r>
              <w:rPr>
                <w:rFonts w:ascii="Times New Roman" w:hAnsi="Times New Roman" w:cs="Times New Roman"/>
                <w:color w:val="#000000"/>
                <w:sz w:val="22"/>
                <w:szCs w:val="22"/>
              </w:rPr>
              <w:t> Риск-менеджмент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155</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Нормирование труда в РФ, система норм труда и нормативных материалов по труду.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Затраты рабочего времени и методы исследования затрат рабочего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Виды и системы  оплаты труда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Сущность нормирования труда. Классификация норм и</w:t>
            </w:r>
          </w:p>
          <w:p>
            <w:pPr>
              <w:jc w:val="left"/>
              <w:spacing w:after="0" w:line="240" w:lineRule="auto"/>
              <w:rPr>
                <w:sz w:val="24"/>
                <w:szCs w:val="24"/>
              </w:rPr>
            </w:pPr>
            <w:r>
              <w:rPr>
                <w:rFonts w:ascii="Times New Roman" w:hAnsi="Times New Roman" w:cs="Times New Roman"/>
                <w:color w:val="#000000"/>
                <w:sz w:val="24"/>
                <w:szCs w:val="24"/>
              </w:rPr>
              <w:t> нормативов.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Система нормирования труда как составная часть системы управления трудом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1.Сущность нормирования труда в РФ, система норм труда и нормативных материалов по труду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2.Учет рабочего времени и хронометраж рабочего дня оплаты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Современные формы, системы оплаты и учета производительности труда персонала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7.Системы оплаты труда как инструмент мотивации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6695.40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38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Нормирование труда в РФ, система норм труда и нормативных материалов по труду.</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Затраты рабочего времени и методы исследования затрат рабочего времени.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Виды и системы  оплаты труда на предприятии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Сущность нормирования труда. Классификация норм и</w:t>
            </w:r>
          </w:p>
          <w:p>
            <w:pPr>
              <w:jc w:val="center"/>
              <w:spacing w:after="0" w:line="240" w:lineRule="auto"/>
              <w:rPr>
                <w:sz w:val="24"/>
                <w:szCs w:val="24"/>
              </w:rPr>
            </w:pPr>
            <w:r>
              <w:rPr>
                <w:rFonts w:ascii="Times New Roman" w:hAnsi="Times New Roman" w:cs="Times New Roman"/>
                <w:b/>
                <w:color w:val="#000000"/>
                <w:sz w:val="24"/>
                <w:szCs w:val="24"/>
              </w:rPr>
              <w:t> нормативов.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Система нормирования труда как составная часть системы управления трудом в рыночной экономике</w:t>
            </w: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Современные формы, системы оплаты и учета производительности труда персонала предприятия</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7.Системы оплаты труда как инструмент мотивации персонала</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1.Сущность нормирования труда в РФ, система норм труда и нормативных материалов по труду</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2.Учет рабочего времени и хронометраж рабочего дня оплаты труда</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w:t>
            </w:r>
          </w:p>
        </w:tc>
      </w:tr>
      <w:tr>
        <w:trPr>
          <w:trHeight w:hRule="exact" w:val="285.180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«Нормирование и оплата труда на предприятии» / Долженко С.П..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Оплата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Юшин,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Калинина,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Оплата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978-5-4497-1201-1.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http://www.iprbookshop.ru/108370.html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Нормирование</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сметы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Родевальд,</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Нормирование</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сметы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Минск:</w:t>
            </w:r>
            <w:r>
              <w:rPr/>
              <w:t xml:space="preserve"> </w:t>
            </w:r>
            <w:r>
              <w:rPr>
                <w:rFonts w:ascii="Times New Roman" w:hAnsi="Times New Roman" w:cs="Times New Roman"/>
                <w:color w:val="#000000"/>
                <w:sz w:val="24"/>
                <w:szCs w:val="24"/>
              </w:rPr>
              <w:t>Республиканский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профессионального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(РИПО),</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978-985-503-988-5.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http://www.iprbookshop.ru/94321.html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расчетов</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оплате</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Фрадина,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расчетов</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оплате</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Санкт-Петербургский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промышленных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дизайна,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978-5-7937-1602-4.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http://www.iprbookshop.ru/103978.html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193.4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Как</w:t>
            </w:r>
            <w:r>
              <w:rPr/>
              <w:t xml:space="preserve"> </w:t>
            </w:r>
            <w:r>
              <w:rPr>
                <w:rFonts w:ascii="Times New Roman" w:hAnsi="Times New Roman" w:cs="Times New Roman"/>
                <w:color w:val="#000000"/>
                <w:sz w:val="24"/>
                <w:szCs w:val="24"/>
              </w:rPr>
              <w:t>разработать</w:t>
            </w:r>
            <w:r>
              <w:rPr/>
              <w:t xml:space="preserve"> </w:t>
            </w:r>
            <w:r>
              <w:rPr>
                <w:rFonts w:ascii="Times New Roman" w:hAnsi="Times New Roman" w:cs="Times New Roman"/>
                <w:color w:val="#000000"/>
                <w:sz w:val="24"/>
                <w:szCs w:val="24"/>
              </w:rPr>
              <w:t>эффективную</w:t>
            </w:r>
            <w:r>
              <w:rPr/>
              <w:t xml:space="preserve"> </w:t>
            </w:r>
            <w:r>
              <w:rPr>
                <w:rFonts w:ascii="Times New Roman" w:hAnsi="Times New Roman" w:cs="Times New Roman"/>
                <w:color w:val="#000000"/>
                <w:sz w:val="24"/>
                <w:szCs w:val="24"/>
              </w:rPr>
              <w:t>систему</w:t>
            </w:r>
            <w:r>
              <w:rPr/>
              <w:t xml:space="preserve"> </w:t>
            </w:r>
            <w:r>
              <w:rPr>
                <w:rFonts w:ascii="Times New Roman" w:hAnsi="Times New Roman" w:cs="Times New Roman"/>
                <w:color w:val="#000000"/>
                <w:sz w:val="24"/>
                <w:szCs w:val="24"/>
              </w:rPr>
              <w:t>оплаты</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примеры</w:t>
            </w:r>
            <w:r>
              <w:rPr/>
              <w:t xml:space="preserve"> </w:t>
            </w:r>
            <w:r>
              <w:rPr>
                <w:rFonts w:ascii="Times New Roman" w:hAnsi="Times New Roman" w:cs="Times New Roman"/>
                <w:color w:val="#000000"/>
                <w:sz w:val="24"/>
                <w:szCs w:val="24"/>
              </w:rPr>
              <w:t>из</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российских</w:t>
            </w:r>
            <w:r>
              <w:rPr/>
              <w:t xml:space="preserve"> </w:t>
            </w:r>
            <w:r>
              <w:rPr>
                <w:rFonts w:ascii="Times New Roman" w:hAnsi="Times New Roman" w:cs="Times New Roman"/>
                <w:color w:val="#000000"/>
                <w:sz w:val="24"/>
                <w:szCs w:val="24"/>
              </w:rPr>
              <w:t>компаний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Ветлужских,</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Ларина,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Петренко,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Романова,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Ионова,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Как</w:t>
            </w:r>
            <w:r>
              <w:rPr/>
              <w:t xml:space="preserve"> </w:t>
            </w:r>
            <w:r>
              <w:rPr>
                <w:rFonts w:ascii="Times New Roman" w:hAnsi="Times New Roman" w:cs="Times New Roman"/>
                <w:color w:val="#000000"/>
                <w:sz w:val="24"/>
                <w:szCs w:val="24"/>
              </w:rPr>
              <w:t>разработать</w:t>
            </w:r>
            <w:r>
              <w:rPr/>
              <w:t xml:space="preserve"> </w:t>
            </w:r>
            <w:r>
              <w:rPr>
                <w:rFonts w:ascii="Times New Roman" w:hAnsi="Times New Roman" w:cs="Times New Roman"/>
                <w:color w:val="#000000"/>
                <w:sz w:val="24"/>
                <w:szCs w:val="24"/>
              </w:rPr>
              <w:t>эффективную</w:t>
            </w:r>
            <w:r>
              <w:rPr/>
              <w:t xml:space="preserve"> </w:t>
            </w:r>
            <w:r>
              <w:rPr>
                <w:rFonts w:ascii="Times New Roman" w:hAnsi="Times New Roman" w:cs="Times New Roman"/>
                <w:color w:val="#000000"/>
                <w:sz w:val="24"/>
                <w:szCs w:val="24"/>
              </w:rPr>
              <w:t>систему</w:t>
            </w:r>
            <w:r>
              <w:rPr/>
              <w:t xml:space="preserve"> </w:t>
            </w:r>
            <w:r>
              <w:rPr>
                <w:rFonts w:ascii="Times New Roman" w:hAnsi="Times New Roman" w:cs="Times New Roman"/>
                <w:color w:val="#000000"/>
                <w:sz w:val="24"/>
                <w:szCs w:val="24"/>
              </w:rPr>
              <w:t>оплаты</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примеры</w:t>
            </w:r>
            <w:r>
              <w:rPr/>
              <w:t xml:space="preserve"> </w:t>
            </w:r>
            <w:r>
              <w:rPr>
                <w:rFonts w:ascii="Times New Roman" w:hAnsi="Times New Roman" w:cs="Times New Roman"/>
                <w:color w:val="#000000"/>
                <w:sz w:val="24"/>
                <w:szCs w:val="24"/>
              </w:rPr>
              <w:t>из</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российских</w:t>
            </w:r>
            <w:r>
              <w:rPr/>
              <w:t xml:space="preserve"> </w:t>
            </w:r>
            <w:r>
              <w:rPr>
                <w:rFonts w:ascii="Times New Roman" w:hAnsi="Times New Roman" w:cs="Times New Roman"/>
                <w:color w:val="#000000"/>
                <w:sz w:val="24"/>
                <w:szCs w:val="24"/>
              </w:rPr>
              <w:t>компаний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978-5-9614-5870-1.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http://www.iprbookshop.ru/93024.html</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455.8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359.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2024-2025_ФГОС3++2024_Бак-ЗФО-Мен_(ЭиУП)(24)_plx_Нормирование и оплата труда на предприятии</dc:title>
  <dc:creator>FastReport.NET</dc:creator>
</cp:coreProperties>
</file>